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30C6" w14:textId="57295D77" w:rsidR="007D34A5" w:rsidRDefault="00C92840" w:rsidP="00C92840">
      <w:pPr>
        <w:pStyle w:val="berschrift1"/>
      </w:pPr>
      <w:r>
        <w:t>Donaukinder – Eine rumäniendeutsche Geschichte</w:t>
      </w:r>
    </w:p>
    <w:p w14:paraId="35570AAD" w14:textId="77777777" w:rsidR="007D34A5" w:rsidRDefault="007D34A5" w:rsidP="007D34A5"/>
    <w:p w14:paraId="1921FB98" w14:textId="730D5989" w:rsidR="007674AE" w:rsidRPr="002E5E0C" w:rsidRDefault="003F60C1" w:rsidP="002E5E0C">
      <w:pPr>
        <w:spacing w:after="120" w:line="360" w:lineRule="auto"/>
      </w:pPr>
      <w:r w:rsidRPr="008A52E2">
        <w:rPr>
          <w:rFonts w:ascii="Arial" w:hAnsi="Arial" w:cs="Arial"/>
          <w:sz w:val="22"/>
          <w:szCs w:val="22"/>
        </w:rPr>
        <w:t xml:space="preserve">„Donaukinder“ </w:t>
      </w:r>
      <w:r w:rsidR="00F60306">
        <w:rPr>
          <w:rFonts w:ascii="Arial" w:hAnsi="Arial" w:cs="Arial"/>
          <w:sz w:val="22"/>
          <w:szCs w:val="22"/>
        </w:rPr>
        <w:t xml:space="preserve">ist die neue große Freilichtproduktion des Chawwerusch Theaters. </w:t>
      </w:r>
      <w:r w:rsidR="007F0A20">
        <w:rPr>
          <w:rFonts w:ascii="Arial" w:hAnsi="Arial" w:cs="Arial"/>
          <w:sz w:val="22"/>
          <w:szCs w:val="22"/>
        </w:rPr>
        <w:t xml:space="preserve">Im Zentrum steht die Schriftstellerin Karla, die unter </w:t>
      </w:r>
      <w:proofErr w:type="spellStart"/>
      <w:r w:rsidR="007F0A20" w:rsidRPr="00F739D5">
        <w:rPr>
          <w:rFonts w:ascii="Arial" w:hAnsi="Arial" w:cs="Arial"/>
          <w:sz w:val="22"/>
          <w:szCs w:val="22"/>
        </w:rPr>
        <w:t>Ceauşescu</w:t>
      </w:r>
      <w:proofErr w:type="spellEnd"/>
      <w:r w:rsidR="007F0A20">
        <w:rPr>
          <w:rFonts w:ascii="Arial" w:hAnsi="Arial" w:cs="Arial"/>
          <w:sz w:val="22"/>
          <w:szCs w:val="22"/>
        </w:rPr>
        <w:t xml:space="preserve"> Systemkritikerin war, und ihre donauschwäbische Familie. </w:t>
      </w:r>
    </w:p>
    <w:p w14:paraId="366C5905" w14:textId="77777777" w:rsidR="002F5340" w:rsidRPr="00C360FB" w:rsidRDefault="002F5340" w:rsidP="007D34A5">
      <w:pPr>
        <w:spacing w:line="360" w:lineRule="auto"/>
        <w:rPr>
          <w:rFonts w:ascii="Arial" w:hAnsi="Arial" w:cs="Arial"/>
          <w:sz w:val="22"/>
          <w:szCs w:val="22"/>
        </w:rPr>
      </w:pPr>
    </w:p>
    <w:p w14:paraId="759FEF7A" w14:textId="77777777" w:rsidR="007D34A5" w:rsidRPr="00C360FB" w:rsidRDefault="007D34A5" w:rsidP="007D34A5">
      <w:pPr>
        <w:spacing w:line="360" w:lineRule="auto"/>
        <w:rPr>
          <w:rFonts w:ascii="Arial" w:hAnsi="Arial" w:cs="Arial"/>
          <w:sz w:val="22"/>
          <w:szCs w:val="22"/>
        </w:rPr>
      </w:pPr>
    </w:p>
    <w:p w14:paraId="13B31349" w14:textId="77777777" w:rsidR="00CE5D4D" w:rsidRPr="00C360FB" w:rsidRDefault="00CE5D4D" w:rsidP="00CE5D4D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  <w:r w:rsidRPr="00C360FB">
        <w:rPr>
          <w:rFonts w:ascii="Arial" w:hAnsi="Arial" w:cs="Arial"/>
          <w:b/>
          <w:sz w:val="22"/>
          <w:szCs w:val="22"/>
        </w:rPr>
        <w:t>Info:</w:t>
      </w:r>
    </w:p>
    <w:p w14:paraId="6C7E5481" w14:textId="77777777" w:rsidR="00F60306" w:rsidRPr="00C360FB" w:rsidRDefault="00F60306" w:rsidP="00F603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 Vorstellungstermine auf www.chawwerusch.de</w:t>
      </w:r>
    </w:p>
    <w:p w14:paraId="5604ED82" w14:textId="77777777" w:rsidR="004F090A" w:rsidRPr="00C360FB" w:rsidRDefault="004F090A" w:rsidP="004F090A">
      <w:pPr>
        <w:rPr>
          <w:rFonts w:ascii="Arial" w:hAnsi="Arial" w:cs="Arial"/>
          <w:sz w:val="20"/>
          <w:szCs w:val="20"/>
        </w:rPr>
      </w:pPr>
    </w:p>
    <w:p w14:paraId="211B68CE" w14:textId="77777777" w:rsidR="00CE5D4D" w:rsidRPr="00C360FB" w:rsidRDefault="00CE5D4D" w:rsidP="00CE5D4D">
      <w:pPr>
        <w:rPr>
          <w:rFonts w:ascii="Arial" w:hAnsi="Arial" w:cs="Arial"/>
          <w:sz w:val="20"/>
          <w:szCs w:val="20"/>
        </w:rPr>
      </w:pPr>
    </w:p>
    <w:p w14:paraId="339076B6" w14:textId="044FDFBC" w:rsidR="00CE5D4D" w:rsidRPr="00C360FB" w:rsidRDefault="00CE5D4D" w:rsidP="00C91F61">
      <w:pPr>
        <w:rPr>
          <w:rFonts w:ascii="Arial" w:hAnsi="Arial" w:cs="Arial"/>
          <w:sz w:val="20"/>
          <w:szCs w:val="20"/>
        </w:rPr>
      </w:pPr>
      <w:r w:rsidRPr="00C360FB">
        <w:rPr>
          <w:rFonts w:ascii="Arial" w:hAnsi="Arial" w:cs="Arial"/>
          <w:b/>
          <w:sz w:val="20"/>
          <w:szCs w:val="20"/>
        </w:rPr>
        <w:t>„</w:t>
      </w:r>
      <w:r w:rsidR="0022763A" w:rsidRPr="00C360FB">
        <w:rPr>
          <w:rFonts w:ascii="Arial" w:hAnsi="Arial" w:cs="Arial"/>
          <w:b/>
          <w:sz w:val="20"/>
          <w:szCs w:val="20"/>
        </w:rPr>
        <w:t>Donaukinder</w:t>
      </w:r>
      <w:r w:rsidRPr="00C360FB">
        <w:rPr>
          <w:rFonts w:ascii="Arial" w:hAnsi="Arial" w:cs="Arial"/>
          <w:b/>
          <w:sz w:val="20"/>
          <w:szCs w:val="20"/>
        </w:rPr>
        <w:t xml:space="preserve">“ </w:t>
      </w:r>
      <w:r w:rsidR="0022763A" w:rsidRPr="00C360FB">
        <w:rPr>
          <w:rFonts w:ascii="Arial" w:hAnsi="Arial" w:cs="Arial"/>
          <w:b/>
          <w:sz w:val="20"/>
          <w:szCs w:val="20"/>
        </w:rPr>
        <w:t xml:space="preserve">im Rahmen der Eröffnung des Kultursommers Rheinland-Pfalz 2022: „Kompass Europa: Ostwind“ </w:t>
      </w:r>
      <w:r w:rsidRPr="00C360FB">
        <w:rPr>
          <w:rFonts w:ascii="Arial" w:hAnsi="Arial" w:cs="Arial"/>
          <w:b/>
          <w:sz w:val="20"/>
          <w:szCs w:val="20"/>
        </w:rPr>
        <w:t>wurde gefördert</w:t>
      </w:r>
      <w:r w:rsidRPr="00C360FB">
        <w:rPr>
          <w:rFonts w:ascii="Arial" w:hAnsi="Arial" w:cs="Arial"/>
          <w:sz w:val="20"/>
          <w:szCs w:val="20"/>
        </w:rPr>
        <w:t xml:space="preserve"> vo</w:t>
      </w:r>
      <w:r w:rsidR="0002027B" w:rsidRPr="00C360FB">
        <w:rPr>
          <w:rFonts w:ascii="Arial" w:hAnsi="Arial" w:cs="Arial"/>
          <w:sz w:val="20"/>
          <w:szCs w:val="20"/>
        </w:rPr>
        <w:t>m Kultursommer Rheinland-Pfalz, vom</w:t>
      </w:r>
      <w:r w:rsidRPr="00C360FB">
        <w:rPr>
          <w:rFonts w:ascii="Arial" w:hAnsi="Arial" w:cs="Arial"/>
          <w:sz w:val="20"/>
          <w:szCs w:val="20"/>
        </w:rPr>
        <w:t xml:space="preserve"> </w:t>
      </w:r>
      <w:r w:rsidR="0022763A" w:rsidRPr="00C360FB">
        <w:rPr>
          <w:rFonts w:ascii="Arial" w:hAnsi="Arial" w:cs="Arial"/>
          <w:sz w:val="20"/>
          <w:szCs w:val="20"/>
        </w:rPr>
        <w:t xml:space="preserve">Ministerium für Familie, Frauen, Kultur und Integration Rheinland-Pfalz, </w:t>
      </w:r>
      <w:r w:rsidR="0007536A">
        <w:rPr>
          <w:rFonts w:ascii="Arial" w:hAnsi="Arial" w:cs="Arial"/>
          <w:sz w:val="20"/>
          <w:szCs w:val="20"/>
        </w:rPr>
        <w:t xml:space="preserve">der Landeszentrale für politische Bildung Rheinland-Pfalz, </w:t>
      </w:r>
      <w:r w:rsidRPr="00C360FB">
        <w:rPr>
          <w:rFonts w:ascii="Arial" w:hAnsi="Arial" w:cs="Arial"/>
          <w:sz w:val="20"/>
          <w:szCs w:val="20"/>
        </w:rPr>
        <w:t>der Sparkasse</w:t>
      </w:r>
      <w:r w:rsidR="00D91FB3" w:rsidRPr="00C360FB">
        <w:rPr>
          <w:rFonts w:ascii="Arial" w:hAnsi="Arial" w:cs="Arial"/>
          <w:sz w:val="20"/>
          <w:szCs w:val="20"/>
        </w:rPr>
        <w:t xml:space="preserve"> Südpfalz</w:t>
      </w:r>
      <w:r w:rsidR="0022763A" w:rsidRPr="00C360FB">
        <w:rPr>
          <w:rFonts w:ascii="Arial" w:hAnsi="Arial" w:cs="Arial"/>
          <w:sz w:val="20"/>
          <w:szCs w:val="20"/>
        </w:rPr>
        <w:t xml:space="preserve">, </w:t>
      </w:r>
      <w:r w:rsidRPr="00C360FB">
        <w:rPr>
          <w:rFonts w:ascii="Arial" w:hAnsi="Arial" w:cs="Arial"/>
          <w:sz w:val="20"/>
          <w:szCs w:val="20"/>
        </w:rPr>
        <w:t>der Lotto Stiftung Rheinland-Pfalz</w:t>
      </w:r>
      <w:r w:rsidR="0022763A" w:rsidRPr="00C360FB">
        <w:rPr>
          <w:rFonts w:ascii="Arial" w:hAnsi="Arial" w:cs="Arial"/>
          <w:sz w:val="20"/>
          <w:szCs w:val="20"/>
        </w:rPr>
        <w:t xml:space="preserve"> und d</w:t>
      </w:r>
      <w:r w:rsidR="00D91FB3" w:rsidRPr="00C360FB">
        <w:rPr>
          <w:rFonts w:ascii="Arial" w:hAnsi="Arial" w:cs="Arial"/>
          <w:sz w:val="20"/>
          <w:szCs w:val="20"/>
        </w:rPr>
        <w:t>em Bezirksverband Pfalz</w:t>
      </w:r>
    </w:p>
    <w:p w14:paraId="4826EFB8" w14:textId="77777777" w:rsidR="00C450EC" w:rsidRPr="00C360FB" w:rsidRDefault="00C450EC" w:rsidP="007D34A5">
      <w:pPr>
        <w:spacing w:line="360" w:lineRule="auto"/>
        <w:rPr>
          <w:rFonts w:ascii="Arial" w:hAnsi="Arial" w:cs="Arial"/>
          <w:sz w:val="20"/>
          <w:szCs w:val="20"/>
        </w:rPr>
      </w:pPr>
      <w:r w:rsidRPr="00C360FB">
        <w:rPr>
          <w:rFonts w:ascii="Arial" w:hAnsi="Arial" w:cs="Arial"/>
          <w:sz w:val="20"/>
          <w:szCs w:val="20"/>
        </w:rPr>
        <w:t>________________________</w:t>
      </w:r>
    </w:p>
    <w:p w14:paraId="18C74A40" w14:textId="77777777" w:rsidR="00356FDF" w:rsidRPr="00C360FB" w:rsidRDefault="00356FDF" w:rsidP="00356FDF">
      <w:pPr>
        <w:rPr>
          <w:rFonts w:ascii="Arial" w:hAnsi="Arial" w:cs="Arial"/>
          <w:i/>
          <w:iCs/>
          <w:sz w:val="20"/>
          <w:szCs w:val="20"/>
        </w:rPr>
      </w:pPr>
      <w:r w:rsidRPr="00C360F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C360FB">
        <w:rPr>
          <w:rFonts w:ascii="Arial" w:hAnsi="Arial" w:cs="Arial"/>
          <w:i/>
          <w:iCs/>
          <w:color w:val="000000" w:themeColor="text1"/>
          <w:sz w:val="20"/>
          <w:szCs w:val="20"/>
        </w:rPr>
        <w:t>der Südpfalz</w:t>
      </w:r>
      <w:proofErr w:type="gramEnd"/>
      <w:r w:rsidRPr="00C360F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C360FB">
        <w:rPr>
          <w:rFonts w:ascii="Arial" w:hAnsi="Arial" w:cs="Arial"/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30783C03" w14:textId="77777777" w:rsidR="00356FDF" w:rsidRPr="00F739D5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F739D5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F739D5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F739D5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0FA312DD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F105" w14:textId="77777777" w:rsidR="00287A41" w:rsidRDefault="00287A41">
      <w:r>
        <w:separator/>
      </w:r>
    </w:p>
  </w:endnote>
  <w:endnote w:type="continuationSeparator" w:id="0">
    <w:p w14:paraId="7A1FA317" w14:textId="77777777" w:rsidR="00287A41" w:rsidRDefault="0028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C099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</w:t>
    </w:r>
    <w:proofErr w:type="spellStart"/>
    <w:r w:rsidRPr="00BB4AD6">
      <w:rPr>
        <w:sz w:val="18"/>
      </w:rPr>
      <w:t>Herxheim</w:t>
    </w:r>
    <w:proofErr w:type="spellEnd"/>
    <w:r w:rsidRPr="00BB4AD6">
      <w:rPr>
        <w:sz w:val="18"/>
      </w:rPr>
      <w:t xml:space="preserve"> </w:t>
    </w:r>
  </w:p>
  <w:p w14:paraId="615282D9" w14:textId="77777777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629A" w14:textId="77777777" w:rsidR="00287A41" w:rsidRDefault="00287A41">
      <w:r>
        <w:separator/>
      </w:r>
    </w:p>
  </w:footnote>
  <w:footnote w:type="continuationSeparator" w:id="0">
    <w:p w14:paraId="3769F78E" w14:textId="77777777" w:rsidR="00287A41" w:rsidRDefault="0028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D1E62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1B6B2458" wp14:editId="785E005C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4344F5" w14:textId="1E741959" w:rsidR="004E2543" w:rsidRPr="0067054D" w:rsidRDefault="0022763A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Donaukinder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72B93D0C" w14:textId="77777777" w:rsidR="004E2543" w:rsidRPr="00B0729B" w:rsidRDefault="004E2543" w:rsidP="007D34A5">
    <w:pPr>
      <w:pBdr>
        <w:bottom w:val="single" w:sz="4" w:space="1" w:color="auto"/>
      </w:pBdr>
      <w:jc w:val="right"/>
      <w:outlineLvl w:val="0"/>
      <w:rPr>
        <w:rFonts w:ascii="Arial" w:hAnsi="Arial" w:cs="Arial"/>
        <w:bCs/>
        <w:sz w:val="20"/>
        <w:szCs w:val="20"/>
      </w:rPr>
    </w:pPr>
    <w:r w:rsidRPr="00B0729B">
      <w:rPr>
        <w:rFonts w:ascii="Arial" w:hAnsi="Arial" w:cs="Arial"/>
        <w:bCs/>
        <w:sz w:val="20"/>
        <w:szCs w:val="20"/>
      </w:rPr>
      <w:t xml:space="preserve">Seite </w:t>
    </w:r>
    <w:r w:rsidRPr="00B0729B">
      <w:rPr>
        <w:rStyle w:val="Seitenzahl"/>
        <w:rFonts w:ascii="Arial" w:hAnsi="Arial" w:cs="Arial"/>
        <w:sz w:val="20"/>
        <w:szCs w:val="20"/>
      </w:rPr>
      <w:fldChar w:fldCharType="begin"/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="00102F02" w:rsidRPr="00B0729B">
      <w:rPr>
        <w:rStyle w:val="Seitenzahl"/>
        <w:rFonts w:ascii="Arial" w:hAnsi="Arial" w:cs="Arial"/>
        <w:sz w:val="20"/>
        <w:szCs w:val="20"/>
      </w:rPr>
      <w:instrText>PAGE</w:instrText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Pr="00B0729B">
      <w:rPr>
        <w:rStyle w:val="Seitenzahl"/>
        <w:rFonts w:ascii="Arial" w:hAnsi="Arial" w:cs="Arial"/>
        <w:sz w:val="20"/>
        <w:szCs w:val="20"/>
      </w:rPr>
      <w:fldChar w:fldCharType="separate"/>
    </w:r>
    <w:r w:rsidR="00C61599" w:rsidRPr="00B0729B">
      <w:rPr>
        <w:rStyle w:val="Seitenzahl"/>
        <w:rFonts w:ascii="Arial" w:hAnsi="Arial" w:cs="Arial"/>
        <w:noProof/>
        <w:sz w:val="20"/>
        <w:szCs w:val="20"/>
      </w:rPr>
      <w:t>1</w:t>
    </w:r>
    <w:r w:rsidRPr="00B0729B">
      <w:rPr>
        <w:rStyle w:val="Seitenzahl"/>
        <w:rFonts w:ascii="Arial" w:hAnsi="Arial" w:cs="Arial"/>
        <w:sz w:val="20"/>
        <w:szCs w:val="20"/>
      </w:rPr>
      <w:fldChar w:fldCharType="end"/>
    </w:r>
    <w:r w:rsidRPr="00B0729B">
      <w:rPr>
        <w:rStyle w:val="Seitenzahl"/>
        <w:rFonts w:ascii="Arial" w:hAnsi="Arial" w:cs="Arial"/>
        <w:sz w:val="20"/>
        <w:szCs w:val="20"/>
      </w:rPr>
      <w:t>/</w:t>
    </w:r>
    <w:r w:rsidRPr="00B0729B">
      <w:rPr>
        <w:rStyle w:val="Seitenzahl"/>
        <w:rFonts w:ascii="Arial" w:hAnsi="Arial" w:cs="Arial"/>
        <w:sz w:val="20"/>
        <w:szCs w:val="20"/>
      </w:rPr>
      <w:fldChar w:fldCharType="begin"/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="00102F02" w:rsidRPr="00B0729B">
      <w:rPr>
        <w:rStyle w:val="Seitenzahl"/>
        <w:rFonts w:ascii="Arial" w:hAnsi="Arial" w:cs="Arial"/>
        <w:sz w:val="20"/>
        <w:szCs w:val="20"/>
      </w:rPr>
      <w:instrText>NUMPAGES</w:instrText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Pr="00B0729B">
      <w:rPr>
        <w:rStyle w:val="Seitenzahl"/>
        <w:rFonts w:ascii="Arial" w:hAnsi="Arial" w:cs="Arial"/>
        <w:sz w:val="20"/>
        <w:szCs w:val="20"/>
      </w:rPr>
      <w:fldChar w:fldCharType="separate"/>
    </w:r>
    <w:r w:rsidR="00C61599" w:rsidRPr="00B0729B">
      <w:rPr>
        <w:rStyle w:val="Seitenzahl"/>
        <w:rFonts w:ascii="Arial" w:hAnsi="Arial" w:cs="Arial"/>
        <w:noProof/>
        <w:sz w:val="20"/>
        <w:szCs w:val="20"/>
      </w:rPr>
      <w:t>1</w:t>
    </w:r>
    <w:r w:rsidRPr="00B0729B">
      <w:rPr>
        <w:rStyle w:val="Seitenzahl"/>
        <w:rFonts w:ascii="Arial" w:hAnsi="Arial" w:cs="Arial"/>
        <w:sz w:val="20"/>
        <w:szCs w:val="20"/>
      </w:rPr>
      <w:fldChar w:fldCharType="end"/>
    </w:r>
  </w:p>
  <w:p w14:paraId="67A18B5D" w14:textId="77777777" w:rsidR="00B661C6" w:rsidRPr="008D75F7" w:rsidRDefault="00B661C6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3A"/>
    <w:rsid w:val="0002027B"/>
    <w:rsid w:val="000219F0"/>
    <w:rsid w:val="00031541"/>
    <w:rsid w:val="00035311"/>
    <w:rsid w:val="00055CEF"/>
    <w:rsid w:val="00066E29"/>
    <w:rsid w:val="0007536A"/>
    <w:rsid w:val="000756BE"/>
    <w:rsid w:val="000B30D4"/>
    <w:rsid w:val="000D379E"/>
    <w:rsid w:val="000F0CED"/>
    <w:rsid w:val="000F6A96"/>
    <w:rsid w:val="00102F02"/>
    <w:rsid w:val="00103F54"/>
    <w:rsid w:val="00105E8E"/>
    <w:rsid w:val="001100FE"/>
    <w:rsid w:val="00121509"/>
    <w:rsid w:val="0012294E"/>
    <w:rsid w:val="00127A49"/>
    <w:rsid w:val="0014619E"/>
    <w:rsid w:val="001507C1"/>
    <w:rsid w:val="00152A85"/>
    <w:rsid w:val="00184406"/>
    <w:rsid w:val="00187340"/>
    <w:rsid w:val="001C59CC"/>
    <w:rsid w:val="001D0190"/>
    <w:rsid w:val="001E18E1"/>
    <w:rsid w:val="001F6D1D"/>
    <w:rsid w:val="00204334"/>
    <w:rsid w:val="0022763A"/>
    <w:rsid w:val="00260911"/>
    <w:rsid w:val="002662F0"/>
    <w:rsid w:val="00270384"/>
    <w:rsid w:val="00287A41"/>
    <w:rsid w:val="0029139A"/>
    <w:rsid w:val="00294697"/>
    <w:rsid w:val="002A1F8D"/>
    <w:rsid w:val="002B4751"/>
    <w:rsid w:val="002E1854"/>
    <w:rsid w:val="002E440D"/>
    <w:rsid w:val="002E5E0C"/>
    <w:rsid w:val="002F223F"/>
    <w:rsid w:val="002F2FBF"/>
    <w:rsid w:val="002F5340"/>
    <w:rsid w:val="00302913"/>
    <w:rsid w:val="003263B5"/>
    <w:rsid w:val="00356FDF"/>
    <w:rsid w:val="00365950"/>
    <w:rsid w:val="00383B06"/>
    <w:rsid w:val="00384165"/>
    <w:rsid w:val="003A2CC1"/>
    <w:rsid w:val="003D4D04"/>
    <w:rsid w:val="003D63B2"/>
    <w:rsid w:val="003F3224"/>
    <w:rsid w:val="003F379C"/>
    <w:rsid w:val="003F60C1"/>
    <w:rsid w:val="00404B5D"/>
    <w:rsid w:val="00410166"/>
    <w:rsid w:val="00411F64"/>
    <w:rsid w:val="0042083E"/>
    <w:rsid w:val="00423589"/>
    <w:rsid w:val="004259D6"/>
    <w:rsid w:val="0042754B"/>
    <w:rsid w:val="00456E80"/>
    <w:rsid w:val="004A668F"/>
    <w:rsid w:val="004C2834"/>
    <w:rsid w:val="004D6012"/>
    <w:rsid w:val="004D7C08"/>
    <w:rsid w:val="004E2543"/>
    <w:rsid w:val="004F090A"/>
    <w:rsid w:val="004F1F34"/>
    <w:rsid w:val="00520202"/>
    <w:rsid w:val="00535B20"/>
    <w:rsid w:val="00541928"/>
    <w:rsid w:val="0054637A"/>
    <w:rsid w:val="00560420"/>
    <w:rsid w:val="005B5A16"/>
    <w:rsid w:val="005C6986"/>
    <w:rsid w:val="005D0074"/>
    <w:rsid w:val="00602FC0"/>
    <w:rsid w:val="00634268"/>
    <w:rsid w:val="00643DB1"/>
    <w:rsid w:val="00651197"/>
    <w:rsid w:val="00653531"/>
    <w:rsid w:val="00656EF2"/>
    <w:rsid w:val="0065708B"/>
    <w:rsid w:val="0065744C"/>
    <w:rsid w:val="00664421"/>
    <w:rsid w:val="0067054D"/>
    <w:rsid w:val="0069052C"/>
    <w:rsid w:val="006A046E"/>
    <w:rsid w:val="006A6154"/>
    <w:rsid w:val="006A7DB1"/>
    <w:rsid w:val="006B25A8"/>
    <w:rsid w:val="006C5C0A"/>
    <w:rsid w:val="006D0BBC"/>
    <w:rsid w:val="00727CB7"/>
    <w:rsid w:val="007559A4"/>
    <w:rsid w:val="0076443A"/>
    <w:rsid w:val="00767277"/>
    <w:rsid w:val="007674AE"/>
    <w:rsid w:val="00774C00"/>
    <w:rsid w:val="00787E5E"/>
    <w:rsid w:val="00794E2B"/>
    <w:rsid w:val="007A47D0"/>
    <w:rsid w:val="007D34A5"/>
    <w:rsid w:val="007F0A20"/>
    <w:rsid w:val="007F1F0C"/>
    <w:rsid w:val="00800202"/>
    <w:rsid w:val="008034E5"/>
    <w:rsid w:val="0080522C"/>
    <w:rsid w:val="00806301"/>
    <w:rsid w:val="0080638E"/>
    <w:rsid w:val="00850CB6"/>
    <w:rsid w:val="00857A66"/>
    <w:rsid w:val="00866F06"/>
    <w:rsid w:val="00882B85"/>
    <w:rsid w:val="008A52E2"/>
    <w:rsid w:val="008C1282"/>
    <w:rsid w:val="008D564E"/>
    <w:rsid w:val="008D75F7"/>
    <w:rsid w:val="00922881"/>
    <w:rsid w:val="00922A46"/>
    <w:rsid w:val="00952F4F"/>
    <w:rsid w:val="00974269"/>
    <w:rsid w:val="00991E83"/>
    <w:rsid w:val="009E4CEC"/>
    <w:rsid w:val="009F7A70"/>
    <w:rsid w:val="00A032A7"/>
    <w:rsid w:val="00A41725"/>
    <w:rsid w:val="00A453B0"/>
    <w:rsid w:val="00A54B8D"/>
    <w:rsid w:val="00A70FEC"/>
    <w:rsid w:val="00A72A42"/>
    <w:rsid w:val="00A74B1A"/>
    <w:rsid w:val="00A80783"/>
    <w:rsid w:val="00A810A1"/>
    <w:rsid w:val="00A857C7"/>
    <w:rsid w:val="00A97E0B"/>
    <w:rsid w:val="00AE123A"/>
    <w:rsid w:val="00AE7589"/>
    <w:rsid w:val="00AF2990"/>
    <w:rsid w:val="00B02D7F"/>
    <w:rsid w:val="00B03958"/>
    <w:rsid w:val="00B03A8A"/>
    <w:rsid w:val="00B0729B"/>
    <w:rsid w:val="00B17AF3"/>
    <w:rsid w:val="00B40C46"/>
    <w:rsid w:val="00B467D6"/>
    <w:rsid w:val="00B661C6"/>
    <w:rsid w:val="00B76A69"/>
    <w:rsid w:val="00B77AB6"/>
    <w:rsid w:val="00B87FBB"/>
    <w:rsid w:val="00BA2D18"/>
    <w:rsid w:val="00BA5B0D"/>
    <w:rsid w:val="00BC6677"/>
    <w:rsid w:val="00C360FB"/>
    <w:rsid w:val="00C450EC"/>
    <w:rsid w:val="00C61599"/>
    <w:rsid w:val="00C64E4C"/>
    <w:rsid w:val="00C71ABA"/>
    <w:rsid w:val="00C74DB6"/>
    <w:rsid w:val="00C8388B"/>
    <w:rsid w:val="00C91F61"/>
    <w:rsid w:val="00C92840"/>
    <w:rsid w:val="00CA517C"/>
    <w:rsid w:val="00CC3769"/>
    <w:rsid w:val="00CD15E8"/>
    <w:rsid w:val="00CE5D4D"/>
    <w:rsid w:val="00CF0CD3"/>
    <w:rsid w:val="00CF753F"/>
    <w:rsid w:val="00D00802"/>
    <w:rsid w:val="00D11A7D"/>
    <w:rsid w:val="00D204DF"/>
    <w:rsid w:val="00D32519"/>
    <w:rsid w:val="00D32C91"/>
    <w:rsid w:val="00D3487B"/>
    <w:rsid w:val="00D37EFC"/>
    <w:rsid w:val="00D56A56"/>
    <w:rsid w:val="00D570B8"/>
    <w:rsid w:val="00D63CD6"/>
    <w:rsid w:val="00D91FB3"/>
    <w:rsid w:val="00DA3811"/>
    <w:rsid w:val="00DB433B"/>
    <w:rsid w:val="00DB729D"/>
    <w:rsid w:val="00DE10BC"/>
    <w:rsid w:val="00E216DC"/>
    <w:rsid w:val="00E36B11"/>
    <w:rsid w:val="00E54D58"/>
    <w:rsid w:val="00E63D75"/>
    <w:rsid w:val="00E71B95"/>
    <w:rsid w:val="00E94648"/>
    <w:rsid w:val="00EB2BEC"/>
    <w:rsid w:val="00EC2439"/>
    <w:rsid w:val="00EC6EBB"/>
    <w:rsid w:val="00ED5D43"/>
    <w:rsid w:val="00ED7583"/>
    <w:rsid w:val="00F22AA3"/>
    <w:rsid w:val="00F23437"/>
    <w:rsid w:val="00F24695"/>
    <w:rsid w:val="00F60306"/>
    <w:rsid w:val="00F60720"/>
    <w:rsid w:val="00F739D5"/>
    <w:rsid w:val="00F7566C"/>
    <w:rsid w:val="00F955AB"/>
    <w:rsid w:val="00FA45AD"/>
    <w:rsid w:val="00FC2351"/>
    <w:rsid w:val="00FC63BC"/>
    <w:rsid w:val="00FD0907"/>
    <w:rsid w:val="00FE7E95"/>
    <w:rsid w:val="00FE7F11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143872"/>
  <w15:docId w15:val="{4989C468-F12A-E043-8DB1-70275187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B30D4"/>
    <w:rPr>
      <w:rFonts w:ascii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rFonts w:ascii="Arial" w:hAnsi="Arial" w:cs="Arial"/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ascii="Arial" w:eastAsia="MS Gothic" w:hAnsi="Arial"/>
      <w:b/>
      <w:bCs/>
      <w:i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 w:cs="Arial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ascii="Arial" w:eastAsiaTheme="minorEastAsia" w:hAnsi="Arial" w:cstheme="minorBidi"/>
      <w:sz w:val="22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F7566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7566C"/>
    <w:rPr>
      <w:rFonts w:ascii="Arial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7566C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756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7566C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F7566C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566C"/>
    <w:rPr>
      <w:rFonts w:ascii="Times New Roman" w:hAnsi="Times New Roman" w:cs="Times New Roman"/>
      <w:sz w:val="18"/>
      <w:szCs w:val="18"/>
    </w:rPr>
  </w:style>
  <w:style w:type="paragraph" w:styleId="berarbeitung">
    <w:name w:val="Revision"/>
    <w:hidden/>
    <w:uiPriority w:val="99"/>
    <w:semiHidden/>
    <w:rsid w:val="0029139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lke/Meine%20Ablage/Chawwerusch-PR/Pressemitteilungen/Vorlage_PI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Vorlage_PI_21.dotx</Template>
  <TotalTime>0</TotalTime>
  <Pages>1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1226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3</cp:revision>
  <cp:lastPrinted>2022-03-31T09:26:00Z</cp:lastPrinted>
  <dcterms:created xsi:type="dcterms:W3CDTF">2022-03-31T10:46:00Z</dcterms:created>
  <dcterms:modified xsi:type="dcterms:W3CDTF">2022-03-31T10:47:00Z</dcterms:modified>
</cp:coreProperties>
</file>