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DB47D" w14:textId="77777777" w:rsidR="007D34A5" w:rsidRDefault="007D34A5"/>
    <w:p w14:paraId="5211F414" w14:textId="77777777" w:rsidR="007D34A5" w:rsidRPr="000F0FCF" w:rsidRDefault="00AC7C31" w:rsidP="007D34A5">
      <w:pPr>
        <w:pStyle w:val="berschrift1"/>
      </w:pPr>
      <w:r>
        <w:t xml:space="preserve">Von Fürstenwillkür und </w:t>
      </w:r>
      <w:r w:rsidR="0062203E">
        <w:t>Revolution in Bergzabern</w:t>
      </w:r>
    </w:p>
    <w:p w14:paraId="15CD86D9" w14:textId="77777777" w:rsidR="007D34A5" w:rsidRDefault="00025CF4" w:rsidP="000D379E">
      <w:pPr>
        <w:pStyle w:val="berschrift2"/>
      </w:pPr>
      <w:r>
        <w:t>Das Chawwerusch Freilicht-Stück „</w:t>
      </w:r>
      <w:proofErr w:type="spellStart"/>
      <w:r>
        <w:t>Liberté</w:t>
      </w:r>
      <w:proofErr w:type="spellEnd"/>
      <w:r>
        <w:t>, wir kommen!“ geht auf Sommertournee</w:t>
      </w:r>
    </w:p>
    <w:p w14:paraId="08BAF5AC" w14:textId="77777777" w:rsidR="007D34A5" w:rsidRDefault="007D34A5" w:rsidP="000A18B2">
      <w:pPr>
        <w:spacing w:after="120" w:line="360" w:lineRule="auto"/>
      </w:pPr>
    </w:p>
    <w:p w14:paraId="076F7BDD" w14:textId="1D8AEBC7" w:rsidR="0072043D" w:rsidRPr="000A18B2" w:rsidRDefault="00181576" w:rsidP="000A18B2">
      <w:pPr>
        <w:spacing w:after="120" w:line="360" w:lineRule="auto"/>
      </w:pPr>
      <w:r>
        <w:t xml:space="preserve">Widerstand gegen Unterdrückung – Aufbruch in eine demokratische neue Zeit – </w:t>
      </w:r>
      <w:r w:rsidR="00102582">
        <w:t>r</w:t>
      </w:r>
      <w:r w:rsidR="006D3BA6">
        <w:t xml:space="preserve">egionale </w:t>
      </w:r>
      <w:r>
        <w:t xml:space="preserve">Geschichte </w:t>
      </w:r>
      <w:r w:rsidR="0062203E">
        <w:t xml:space="preserve">erwacht </w:t>
      </w:r>
      <w:r>
        <w:t>auf der Bühne zum Leb</w:t>
      </w:r>
      <w:r w:rsidR="0062203E">
        <w:t>en</w:t>
      </w:r>
      <w:r>
        <w:t xml:space="preserve">: </w:t>
      </w:r>
      <w:r w:rsidR="0072043D">
        <w:t xml:space="preserve">Am Freitag, 4. Juni </w:t>
      </w:r>
      <w:r w:rsidR="0095617B">
        <w:t xml:space="preserve">2021 </w:t>
      </w:r>
      <w:r w:rsidR="0072043D">
        <w:t>um 20 Uhr wird im Schlo</w:t>
      </w:r>
      <w:r w:rsidR="00AC7C31">
        <w:t>ss</w:t>
      </w:r>
      <w:r w:rsidR="0072043D">
        <w:t xml:space="preserve">hof in Bad </w:t>
      </w:r>
      <w:proofErr w:type="spellStart"/>
      <w:r w:rsidR="0072043D">
        <w:t>Bergzabern</w:t>
      </w:r>
      <w:proofErr w:type="spellEnd"/>
      <w:r w:rsidR="0072043D">
        <w:t xml:space="preserve"> „</w:t>
      </w:r>
      <w:proofErr w:type="spellStart"/>
      <w:r w:rsidR="0072043D">
        <w:t>Liberté</w:t>
      </w:r>
      <w:proofErr w:type="spellEnd"/>
      <w:r w:rsidR="0072043D">
        <w:t>, wir kommen!“ Premiere feiern</w:t>
      </w:r>
      <w:r w:rsidR="00F6395F">
        <w:t xml:space="preserve">. </w:t>
      </w:r>
      <w:r w:rsidR="00762B17">
        <w:t>D</w:t>
      </w:r>
      <w:r w:rsidR="00302468">
        <w:t>ie neue Chawwerusch Freilicht-Produktion handelt von der „</w:t>
      </w:r>
      <w:proofErr w:type="spellStart"/>
      <w:r w:rsidR="00302468">
        <w:t>Bergzaberner</w:t>
      </w:r>
      <w:proofErr w:type="spellEnd"/>
      <w:r w:rsidR="00302468">
        <w:t xml:space="preserve"> Republik“, die 1792 </w:t>
      </w:r>
      <w:proofErr w:type="gramStart"/>
      <w:r w:rsidR="00302468">
        <w:t>in der Südpfalz</w:t>
      </w:r>
      <w:proofErr w:type="gramEnd"/>
      <w:r w:rsidR="00302468">
        <w:t xml:space="preserve"> ausgerufen wurde.</w:t>
      </w:r>
    </w:p>
    <w:p w14:paraId="0BDC95A1" w14:textId="5AB9D605" w:rsidR="002C3B22" w:rsidRDefault="009663F1" w:rsidP="006B12E9">
      <w:pPr>
        <w:spacing w:after="120" w:line="360" w:lineRule="auto"/>
      </w:pPr>
      <w:r>
        <w:t>„</w:t>
      </w:r>
      <w:proofErr w:type="spellStart"/>
      <w:r w:rsidR="00BE5A01">
        <w:t>Liberté</w:t>
      </w:r>
      <w:proofErr w:type="spellEnd"/>
      <w:r w:rsidR="00BE5A01">
        <w:t>, wir kommen!</w:t>
      </w:r>
      <w:r>
        <w:t>“</w:t>
      </w:r>
      <w:r w:rsidR="00BE5A01">
        <w:t xml:space="preserve"> wird zunächst zweimal, am Freitag 4.6. und Samstag 5.6. in Bad Bergzabern aufgeführt und geht dann auf Freilicht-Tournee</w:t>
      </w:r>
      <w:r w:rsidR="00302468">
        <w:t xml:space="preserve">. </w:t>
      </w:r>
      <w:r w:rsidR="00BE5A01">
        <w:t xml:space="preserve">Karten für die Vorstellungen in Bad </w:t>
      </w:r>
      <w:proofErr w:type="spellStart"/>
      <w:r w:rsidR="00BE5A01">
        <w:t>Bergzabern</w:t>
      </w:r>
      <w:proofErr w:type="spellEnd"/>
      <w:r w:rsidR="00BE5A01">
        <w:t xml:space="preserve"> sind ab dem</w:t>
      </w:r>
      <w:r w:rsidR="004477CD">
        <w:t xml:space="preserve"> 3. Mai</w:t>
      </w:r>
      <w:r w:rsidR="00BE5A01">
        <w:t xml:space="preserve"> auf </w:t>
      </w:r>
      <w:hyperlink r:id="rId7" w:history="1">
        <w:r w:rsidR="00BE5A01" w:rsidRPr="00225E49">
          <w:rPr>
            <w:rStyle w:val="Hyperlink"/>
          </w:rPr>
          <w:t>www.chawwerusch.de</w:t>
        </w:r>
      </w:hyperlink>
      <w:r w:rsidR="00BE5A01">
        <w:t xml:space="preserve"> erhältlich. Alle Termine und Informationen zum Kartenvorverkauf </w:t>
      </w:r>
      <w:r w:rsidR="00896D8E">
        <w:t>sind ebenfalls auf der Homepage des Theaters zu finden.</w:t>
      </w:r>
    </w:p>
    <w:p w14:paraId="2864EC20" w14:textId="77777777" w:rsidR="002C3B22" w:rsidRDefault="002C3B22" w:rsidP="007D34A5">
      <w:pPr>
        <w:spacing w:line="360" w:lineRule="auto"/>
      </w:pPr>
    </w:p>
    <w:p w14:paraId="42C348AA" w14:textId="77777777" w:rsidR="007D34A5" w:rsidRPr="00CE5D4D" w:rsidRDefault="007D34A5" w:rsidP="007D34A5">
      <w:pPr>
        <w:spacing w:line="360" w:lineRule="auto"/>
      </w:pPr>
    </w:p>
    <w:p w14:paraId="58C76EB5" w14:textId="77777777" w:rsidR="00CE5D4D" w:rsidRPr="002F10DB" w:rsidRDefault="00CE5D4D" w:rsidP="002F10DB">
      <w:pPr>
        <w:pBdr>
          <w:bottom w:val="single" w:sz="4" w:space="1" w:color="auto"/>
        </w:pBdr>
        <w:rPr>
          <w:b/>
        </w:rPr>
      </w:pPr>
      <w:r w:rsidRPr="00CE5D4D">
        <w:rPr>
          <w:b/>
        </w:rPr>
        <w:t>Info:</w:t>
      </w:r>
    </w:p>
    <w:p w14:paraId="75EF047F" w14:textId="77777777" w:rsidR="000D379E" w:rsidRDefault="002F10DB" w:rsidP="00CE5D4D">
      <w:r>
        <w:t>Fr. 04.06.2020 20 Uhr (PREMIERE), Sa. 05.06.2020 20 Uhr im Schlosshof in Bad Bergzabern, alle weiteren Termine und Informationen zum Kartenvorverkauf unter www.chawwerusch.de</w:t>
      </w:r>
    </w:p>
    <w:p w14:paraId="6D8C67CE" w14:textId="77777777" w:rsidR="002F10DB" w:rsidRPr="00CE5D4D" w:rsidRDefault="002F10DB" w:rsidP="00CE5D4D"/>
    <w:p w14:paraId="3E774ACA" w14:textId="77777777" w:rsidR="00CE5D4D" w:rsidRPr="00CE5D4D" w:rsidRDefault="00CE5D4D" w:rsidP="00CE5D4D"/>
    <w:p w14:paraId="017CF217" w14:textId="1499CD88" w:rsidR="00CE5D4D" w:rsidRPr="004D035F" w:rsidRDefault="00CE5D4D" w:rsidP="00C91F61">
      <w:pPr>
        <w:rPr>
          <w:rFonts w:ascii="Times New Roman" w:hAnsi="Times New Roman" w:cs="Times New Roman"/>
          <w:sz w:val="24"/>
          <w:szCs w:val="24"/>
        </w:rPr>
      </w:pPr>
      <w:r w:rsidRPr="00CE5D4D">
        <w:rPr>
          <w:b/>
        </w:rPr>
        <w:t>„</w:t>
      </w:r>
      <w:proofErr w:type="spellStart"/>
      <w:r w:rsidR="004D035F">
        <w:rPr>
          <w:b/>
        </w:rPr>
        <w:t>Liberté</w:t>
      </w:r>
      <w:proofErr w:type="spellEnd"/>
      <w:r w:rsidR="004D035F">
        <w:rPr>
          <w:b/>
        </w:rPr>
        <w:t>, wir kommen!</w:t>
      </w:r>
      <w:r w:rsidRPr="00CE5D4D">
        <w:rPr>
          <w:b/>
        </w:rPr>
        <w:t>“ wurde gefördert</w:t>
      </w:r>
      <w:r w:rsidRPr="00CE5D4D">
        <w:t xml:space="preserve"> vo</w:t>
      </w:r>
      <w:r w:rsidR="004D035F">
        <w:t xml:space="preserve">m Kultursommer Rheinland-Pfalz, dem Bezirksverband Pfalz, von der Lotto Stiftung Rheinland-Pfalz, der VR Bank Südliche Weinstraße </w:t>
      </w:r>
      <w:proofErr w:type="spellStart"/>
      <w:r w:rsidR="004D035F">
        <w:t>Wasgau</w:t>
      </w:r>
      <w:proofErr w:type="spellEnd"/>
      <w:r w:rsidR="004D035F">
        <w:t xml:space="preserve"> eG, der josef-</w:t>
      </w:r>
      <w:proofErr w:type="spellStart"/>
      <w:r w:rsidR="004D035F">
        <w:t>david</w:t>
      </w:r>
      <w:proofErr w:type="spellEnd"/>
      <w:r w:rsidR="004D035F">
        <w:t>-stiftung,</w:t>
      </w:r>
      <w:r w:rsidRPr="00CE5D4D">
        <w:t xml:space="preserve"> der Sparkasse S</w:t>
      </w:r>
      <w:r w:rsidR="001E7461">
        <w:t>üdpfalz</w:t>
      </w:r>
      <w:r w:rsidR="004D035F">
        <w:t xml:space="preserve"> und</w:t>
      </w:r>
      <w:r w:rsidRPr="00CE5D4D">
        <w:t xml:space="preserve"> </w:t>
      </w:r>
      <w:r w:rsidR="00991E83">
        <w:t>dem Ministerium für</w:t>
      </w:r>
      <w:r w:rsidRPr="00CE5D4D">
        <w:t xml:space="preserve"> </w:t>
      </w:r>
      <w:r w:rsidR="001E7461">
        <w:t>Familie, Frauen, Kultur und Integration</w:t>
      </w:r>
      <w:r w:rsidR="000D379E">
        <w:t xml:space="preserve"> </w:t>
      </w:r>
      <w:r w:rsidR="00C8388B">
        <w:t>Rheinland-</w:t>
      </w:r>
      <w:r w:rsidR="00EC6EBB">
        <w:t>Pfalz</w:t>
      </w:r>
      <w:r w:rsidR="004D035F">
        <w:t>.</w:t>
      </w:r>
    </w:p>
    <w:p w14:paraId="31601381" w14:textId="77777777" w:rsidR="00C450EC" w:rsidRDefault="00C450EC" w:rsidP="007D34A5">
      <w:pPr>
        <w:spacing w:line="360" w:lineRule="auto"/>
      </w:pPr>
      <w:r>
        <w:t>________________________</w:t>
      </w:r>
    </w:p>
    <w:p w14:paraId="4DD909B7" w14:textId="77777777" w:rsidR="00356FDF" w:rsidRPr="00524CCD" w:rsidRDefault="00356FDF" w:rsidP="00356FDF">
      <w:pPr>
        <w:rPr>
          <w:i/>
          <w:iCs/>
          <w:sz w:val="20"/>
          <w:szCs w:val="20"/>
        </w:rPr>
      </w:pPr>
      <w:r w:rsidRPr="00524CCD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524CCD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524CCD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 </w:t>
      </w:r>
      <w:r w:rsidRPr="00524CCD">
        <w:rPr>
          <w:i/>
          <w:iCs/>
          <w:sz w:val="20"/>
          <w:szCs w:val="20"/>
        </w:rPr>
        <w:t xml:space="preserve">Die meist selbst entwickelten Stücke eignen sich für unterschiedliche Spielorte. Zudem produziert das Chawwerusch Theater Großprojekte mit Amateuren auf hohem künstlerischem Niveau. </w:t>
      </w:r>
    </w:p>
    <w:p w14:paraId="1A568C42" w14:textId="77777777" w:rsidR="00356FDF" w:rsidRPr="00043E26" w:rsidRDefault="00356FDF" w:rsidP="00356FDF">
      <w:pPr>
        <w:pStyle w:val="Listenabsatz"/>
        <w:pBdr>
          <w:bottom w:val="single" w:sz="12" w:space="1" w:color="auto"/>
        </w:pBdr>
        <w:ind w:left="0"/>
        <w:rPr>
          <w:rFonts w:cs="Arial"/>
          <w:i/>
          <w:iCs/>
          <w:sz w:val="20"/>
          <w:szCs w:val="20"/>
        </w:rPr>
      </w:pPr>
      <w:r w:rsidRPr="00524CCD">
        <w:rPr>
          <w:rFonts w:cs="Arial"/>
          <w:i/>
          <w:iCs/>
          <w:sz w:val="20"/>
          <w:szCs w:val="20"/>
        </w:rPr>
        <w:t xml:space="preserve">Die Expedition Chawwerusch ist die junge Sparte des Theaters. Neben </w:t>
      </w:r>
      <w:r w:rsidRPr="00524CCD">
        <w:rPr>
          <w:rFonts w:cs="Arial"/>
          <w:i/>
          <w:iCs/>
          <w:color w:val="000000" w:themeColor="text1"/>
          <w:sz w:val="20"/>
          <w:szCs w:val="20"/>
        </w:rPr>
        <w:t>den</w:t>
      </w:r>
      <w:r w:rsidRPr="00524CCD">
        <w:rPr>
          <w:rFonts w:cs="Arial"/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58F10B45" w14:textId="324A4902" w:rsidR="002275F4" w:rsidRDefault="002275F4" w:rsidP="007D34A5">
      <w:pPr>
        <w:spacing w:line="360" w:lineRule="auto"/>
      </w:pPr>
    </w:p>
    <w:p w14:paraId="62481D07" w14:textId="77777777" w:rsidR="002275F4" w:rsidRPr="007E117A" w:rsidRDefault="002275F4" w:rsidP="007D34A5">
      <w:pPr>
        <w:spacing w:line="360" w:lineRule="auto"/>
      </w:pPr>
    </w:p>
    <w:sectPr w:rsidR="002275F4" w:rsidRPr="007E117A" w:rsidSect="000A18B2">
      <w:headerReference w:type="default" r:id="rId8"/>
      <w:foot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929E3" w14:textId="77777777" w:rsidR="00C23E48" w:rsidRDefault="00C23E48">
      <w:r>
        <w:separator/>
      </w:r>
    </w:p>
  </w:endnote>
  <w:endnote w:type="continuationSeparator" w:id="0">
    <w:p w14:paraId="454752B0" w14:textId="77777777" w:rsidR="00C23E48" w:rsidRDefault="00C2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537CF" w14:textId="77777777" w:rsidR="004E2543" w:rsidRPr="00BB4AD6" w:rsidRDefault="004E2543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 w:rsidR="0067054D"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Herxheim </w:t>
    </w:r>
  </w:p>
  <w:p w14:paraId="11DAD82B" w14:textId="77777777" w:rsidR="004E2543" w:rsidRDefault="004E2543" w:rsidP="00B02D7F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3F34D" w14:textId="77777777" w:rsidR="00C23E48" w:rsidRDefault="00C23E48">
      <w:r>
        <w:separator/>
      </w:r>
    </w:p>
  </w:footnote>
  <w:footnote w:type="continuationSeparator" w:id="0">
    <w:p w14:paraId="5E812D04" w14:textId="77777777" w:rsidR="00C23E48" w:rsidRDefault="00C23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E66A7" w14:textId="77777777" w:rsidR="004E2543" w:rsidRDefault="00356FDF" w:rsidP="007D34A5">
    <w:r>
      <w:rPr>
        <w:noProof/>
      </w:rPr>
      <w:drawing>
        <wp:anchor distT="0" distB="0" distL="114300" distR="114300" simplePos="0" relativeHeight="251659264" behindDoc="1" locked="0" layoutInCell="1" allowOverlap="1" wp14:anchorId="2723777E" wp14:editId="16ABEE99">
          <wp:simplePos x="0" y="0"/>
          <wp:positionH relativeFrom="margin">
            <wp:posOffset>4879648</wp:posOffset>
          </wp:positionH>
          <wp:positionV relativeFrom="margin">
            <wp:posOffset>-1038196</wp:posOffset>
          </wp:positionV>
          <wp:extent cx="1259205" cy="474345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350090" w14:textId="77777777" w:rsidR="004E2543" w:rsidRPr="0067054D" w:rsidRDefault="00446C36" w:rsidP="004A668F">
    <w:pPr>
      <w:pBdr>
        <w:bottom w:val="single" w:sz="4" w:space="1" w:color="auto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noProof/>
        <w:color w:val="BFBFBF"/>
        <w:sz w:val="40"/>
        <w:szCs w:val="40"/>
      </w:rPr>
      <w:t>Liberté, wir kommen</w:t>
    </w:r>
    <w:r w:rsidR="00A8034B">
      <w:rPr>
        <w:rFonts w:ascii="Arial Rounded MT Bold" w:hAnsi="Arial Rounded MT Bold"/>
        <w:noProof/>
        <w:color w:val="BFBFBF"/>
        <w:sz w:val="40"/>
        <w:szCs w:val="40"/>
      </w:rPr>
      <w:t>!</w:t>
    </w:r>
    <w:r w:rsidR="00E63D75">
      <w:rPr>
        <w:rFonts w:ascii="Arial Rounded MT Bold" w:hAnsi="Arial Rounded MT Bold"/>
        <w:noProof/>
        <w:color w:val="BFBFBF"/>
        <w:sz w:val="40"/>
        <w:szCs w:val="40"/>
      </w:rPr>
      <w:t xml:space="preserve"> </w:t>
    </w:r>
    <w:r>
      <w:rPr>
        <w:rFonts w:ascii="Arial Rounded MT Bold" w:hAnsi="Arial Rounded MT Bold"/>
        <w:noProof/>
        <w:color w:val="BFBFBF"/>
        <w:sz w:val="40"/>
        <w:szCs w:val="40"/>
      </w:rPr>
      <w:br/>
    </w:r>
    <w:r w:rsidR="00E63D75">
      <w:rPr>
        <w:rFonts w:ascii="Arial Rounded MT Bold" w:hAnsi="Arial Rounded MT Bold"/>
        <w:noProof/>
        <w:color w:val="BFBFBF"/>
        <w:sz w:val="40"/>
        <w:szCs w:val="40"/>
      </w:rPr>
      <w:t>– Presseinformation</w:t>
    </w:r>
    <w:r w:rsidR="004A668F" w:rsidRPr="0067054D">
      <w:rPr>
        <w:b/>
        <w:bCs/>
        <w:sz w:val="46"/>
        <w:szCs w:val="48"/>
      </w:rPr>
      <w:tab/>
    </w:r>
    <w:r w:rsidR="004A668F" w:rsidRPr="0067054D">
      <w:rPr>
        <w:b/>
        <w:bCs/>
        <w:sz w:val="46"/>
        <w:szCs w:val="48"/>
      </w:rPr>
      <w:tab/>
      <w:t xml:space="preserve">  </w:t>
    </w:r>
  </w:p>
  <w:p w14:paraId="276383BC" w14:textId="77777777" w:rsidR="004E2543" w:rsidRPr="00576034" w:rsidRDefault="004E2543" w:rsidP="007D34A5">
    <w:pPr>
      <w:pBdr>
        <w:bottom w:val="single" w:sz="4" w:space="1" w:color="auto"/>
      </w:pBdr>
      <w:jc w:val="right"/>
      <w:outlineLvl w:val="0"/>
      <w:rPr>
        <w:bCs/>
      </w:rPr>
    </w:pPr>
    <w:r w:rsidRPr="00576034">
      <w:rPr>
        <w:bCs/>
      </w:rPr>
      <w:t xml:space="preserve">Seite 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PAGE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C61599">
      <w:rPr>
        <w:rStyle w:val="Seitenzahl"/>
        <w:noProof/>
      </w:rPr>
      <w:t>1</w:t>
    </w:r>
    <w:r w:rsidRPr="00576034">
      <w:rPr>
        <w:rStyle w:val="Seitenzahl"/>
      </w:rPr>
      <w:fldChar w:fldCharType="end"/>
    </w:r>
    <w:r w:rsidRPr="00576034">
      <w:rPr>
        <w:rStyle w:val="Seitenzahl"/>
      </w:rPr>
      <w:t>/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NUMPAGES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C61599">
      <w:rPr>
        <w:rStyle w:val="Seitenzahl"/>
        <w:noProof/>
      </w:rPr>
      <w:t>1</w:t>
    </w:r>
    <w:r w:rsidRPr="00576034">
      <w:rPr>
        <w:rStyle w:val="Seitenzahl"/>
      </w:rPr>
      <w:fldChar w:fldCharType="end"/>
    </w:r>
  </w:p>
  <w:p w14:paraId="2C88F502" w14:textId="46B4E55B" w:rsidR="004E2543" w:rsidRPr="008D75F7" w:rsidRDefault="00FB3B3D" w:rsidP="008D75F7">
    <w:pPr>
      <w:pStyle w:val="Kopfzeile"/>
      <w:jc w:val="right"/>
      <w:rPr>
        <w:sz w:val="20"/>
        <w:szCs w:val="20"/>
      </w:rPr>
    </w:pPr>
    <w:r>
      <w:rPr>
        <w:sz w:val="20"/>
        <w:szCs w:val="20"/>
      </w:rPr>
      <w:t>7.4.2021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C36"/>
    <w:rsid w:val="00025CF4"/>
    <w:rsid w:val="00031541"/>
    <w:rsid w:val="00051385"/>
    <w:rsid w:val="00055CEF"/>
    <w:rsid w:val="000625DB"/>
    <w:rsid w:val="00066E29"/>
    <w:rsid w:val="000A18B2"/>
    <w:rsid w:val="000D379E"/>
    <w:rsid w:val="000E3B62"/>
    <w:rsid w:val="00102582"/>
    <w:rsid w:val="00102F02"/>
    <w:rsid w:val="00105E8E"/>
    <w:rsid w:val="001100FE"/>
    <w:rsid w:val="00112E2C"/>
    <w:rsid w:val="001152D1"/>
    <w:rsid w:val="00121509"/>
    <w:rsid w:val="0014619E"/>
    <w:rsid w:val="00146894"/>
    <w:rsid w:val="0017631A"/>
    <w:rsid w:val="00181576"/>
    <w:rsid w:val="00182356"/>
    <w:rsid w:val="001D0308"/>
    <w:rsid w:val="001E7461"/>
    <w:rsid w:val="001F686C"/>
    <w:rsid w:val="00201F68"/>
    <w:rsid w:val="00204334"/>
    <w:rsid w:val="002171AE"/>
    <w:rsid w:val="002275F4"/>
    <w:rsid w:val="00274145"/>
    <w:rsid w:val="00294697"/>
    <w:rsid w:val="002A1F8D"/>
    <w:rsid w:val="002C3B22"/>
    <w:rsid w:val="002E1854"/>
    <w:rsid w:val="002F10DB"/>
    <w:rsid w:val="002F5340"/>
    <w:rsid w:val="00302468"/>
    <w:rsid w:val="00356FDF"/>
    <w:rsid w:val="003A2FD3"/>
    <w:rsid w:val="003D4D04"/>
    <w:rsid w:val="003D63B2"/>
    <w:rsid w:val="004259D6"/>
    <w:rsid w:val="0042754B"/>
    <w:rsid w:val="00433DDB"/>
    <w:rsid w:val="00446C36"/>
    <w:rsid w:val="004477CD"/>
    <w:rsid w:val="004A668F"/>
    <w:rsid w:val="004C2834"/>
    <w:rsid w:val="004C34C2"/>
    <w:rsid w:val="004D035F"/>
    <w:rsid w:val="004D6012"/>
    <w:rsid w:val="004E2543"/>
    <w:rsid w:val="00535B20"/>
    <w:rsid w:val="00541928"/>
    <w:rsid w:val="005513D4"/>
    <w:rsid w:val="005628FA"/>
    <w:rsid w:val="005A63FD"/>
    <w:rsid w:val="005B5A16"/>
    <w:rsid w:val="00602FC0"/>
    <w:rsid w:val="0062203E"/>
    <w:rsid w:val="00643DB1"/>
    <w:rsid w:val="00664421"/>
    <w:rsid w:val="0067054D"/>
    <w:rsid w:val="006A59F8"/>
    <w:rsid w:val="006A6154"/>
    <w:rsid w:val="006B12E9"/>
    <w:rsid w:val="006D0BBC"/>
    <w:rsid w:val="006D3BA6"/>
    <w:rsid w:val="0072043D"/>
    <w:rsid w:val="00735F79"/>
    <w:rsid w:val="00762B17"/>
    <w:rsid w:val="0076443A"/>
    <w:rsid w:val="007742F1"/>
    <w:rsid w:val="00786405"/>
    <w:rsid w:val="00787E5E"/>
    <w:rsid w:val="007A47D0"/>
    <w:rsid w:val="007D34A5"/>
    <w:rsid w:val="007E6BCE"/>
    <w:rsid w:val="0080522C"/>
    <w:rsid w:val="00810D25"/>
    <w:rsid w:val="00816CF3"/>
    <w:rsid w:val="00827A41"/>
    <w:rsid w:val="00866F06"/>
    <w:rsid w:val="00896C57"/>
    <w:rsid w:val="00896D8E"/>
    <w:rsid w:val="008974C0"/>
    <w:rsid w:val="008C1282"/>
    <w:rsid w:val="008C19FB"/>
    <w:rsid w:val="008D4983"/>
    <w:rsid w:val="008D75F7"/>
    <w:rsid w:val="008F4A18"/>
    <w:rsid w:val="00902986"/>
    <w:rsid w:val="00911F25"/>
    <w:rsid w:val="0091745F"/>
    <w:rsid w:val="00922881"/>
    <w:rsid w:val="0095617B"/>
    <w:rsid w:val="009663F1"/>
    <w:rsid w:val="00991E83"/>
    <w:rsid w:val="009D3E21"/>
    <w:rsid w:val="009E4CEC"/>
    <w:rsid w:val="00A453B0"/>
    <w:rsid w:val="00A74B1A"/>
    <w:rsid w:val="00A77016"/>
    <w:rsid w:val="00A8034B"/>
    <w:rsid w:val="00AB00D8"/>
    <w:rsid w:val="00AC7C31"/>
    <w:rsid w:val="00AD4386"/>
    <w:rsid w:val="00AF292C"/>
    <w:rsid w:val="00B02D7F"/>
    <w:rsid w:val="00B03958"/>
    <w:rsid w:val="00B03A8A"/>
    <w:rsid w:val="00B467D6"/>
    <w:rsid w:val="00B77AB6"/>
    <w:rsid w:val="00BA2D18"/>
    <w:rsid w:val="00BE5A01"/>
    <w:rsid w:val="00C14F87"/>
    <w:rsid w:val="00C23E48"/>
    <w:rsid w:val="00C36A4B"/>
    <w:rsid w:val="00C44D43"/>
    <w:rsid w:val="00C450EC"/>
    <w:rsid w:val="00C61599"/>
    <w:rsid w:val="00C74DB6"/>
    <w:rsid w:val="00C8388B"/>
    <w:rsid w:val="00C86EE3"/>
    <w:rsid w:val="00C90CE5"/>
    <w:rsid w:val="00C91F61"/>
    <w:rsid w:val="00CC7DA3"/>
    <w:rsid w:val="00CE5D4D"/>
    <w:rsid w:val="00CE7AD1"/>
    <w:rsid w:val="00CF753F"/>
    <w:rsid w:val="00D063E4"/>
    <w:rsid w:val="00D11A7D"/>
    <w:rsid w:val="00D204DF"/>
    <w:rsid w:val="00D32519"/>
    <w:rsid w:val="00D32C91"/>
    <w:rsid w:val="00D3487B"/>
    <w:rsid w:val="00D35BCB"/>
    <w:rsid w:val="00D37EFC"/>
    <w:rsid w:val="00D570B8"/>
    <w:rsid w:val="00D60E6A"/>
    <w:rsid w:val="00D63CD6"/>
    <w:rsid w:val="00D90596"/>
    <w:rsid w:val="00E14F0F"/>
    <w:rsid w:val="00E36B11"/>
    <w:rsid w:val="00E500F0"/>
    <w:rsid w:val="00E54D58"/>
    <w:rsid w:val="00E63D75"/>
    <w:rsid w:val="00E71B95"/>
    <w:rsid w:val="00E7621B"/>
    <w:rsid w:val="00EC091C"/>
    <w:rsid w:val="00EC6EBB"/>
    <w:rsid w:val="00EE0615"/>
    <w:rsid w:val="00EE591D"/>
    <w:rsid w:val="00EF5183"/>
    <w:rsid w:val="00F10548"/>
    <w:rsid w:val="00F22AA3"/>
    <w:rsid w:val="00F24695"/>
    <w:rsid w:val="00F35A7F"/>
    <w:rsid w:val="00F60720"/>
    <w:rsid w:val="00F6395F"/>
    <w:rsid w:val="00F82163"/>
    <w:rsid w:val="00FA45AD"/>
    <w:rsid w:val="00FA4BBA"/>
    <w:rsid w:val="00FB3B3D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05B343"/>
  <w15:docId w15:val="{EC04823E-EB56-EE4C-BD34-4302DBE1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B50BE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uiPriority w:val="99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356FDF"/>
    <w:pPr>
      <w:spacing w:after="200"/>
      <w:ind w:left="720"/>
      <w:contextualSpacing/>
    </w:pPr>
    <w:rPr>
      <w:rFonts w:eastAsiaTheme="minorEastAsia" w:cstheme="minorBidi"/>
      <w:szCs w:val="24"/>
      <w:lang w:eastAsia="ja-JP"/>
    </w:rPr>
  </w:style>
  <w:style w:type="character" w:styleId="Hervorhebung">
    <w:name w:val="Emphasis"/>
    <w:basedOn w:val="Absatz-Standardschriftart"/>
    <w:uiPriority w:val="20"/>
    <w:qFormat/>
    <w:rsid w:val="004D035F"/>
    <w:rPr>
      <w:i/>
      <w:iCs/>
    </w:rPr>
  </w:style>
  <w:style w:type="paragraph" w:customStyle="1" w:styleId="Dialog">
    <w:name w:val="Dialog"/>
    <w:basedOn w:val="Standard"/>
    <w:next w:val="Standard"/>
    <w:rsid w:val="00735F79"/>
    <w:pPr>
      <w:ind w:left="1134" w:right="-6"/>
    </w:pPr>
    <w:rPr>
      <w:rFonts w:cs="Times New Roman"/>
      <w:szCs w:val="20"/>
    </w:rPr>
  </w:style>
  <w:style w:type="paragraph" w:customStyle="1" w:styleId="Charakter">
    <w:name w:val="Charakter"/>
    <w:basedOn w:val="Standard"/>
    <w:next w:val="Standard"/>
    <w:qFormat/>
    <w:rsid w:val="000A18B2"/>
    <w:pPr>
      <w:keepNext/>
      <w:keepLines/>
      <w:spacing w:before="120"/>
    </w:pPr>
    <w:rPr>
      <w:rFonts w:cs="Times New Roman"/>
      <w:caps/>
      <w:szCs w:val="20"/>
    </w:rPr>
  </w:style>
  <w:style w:type="character" w:styleId="NichtaufgelsteErwhnung">
    <w:name w:val="Unresolved Mention"/>
    <w:basedOn w:val="Absatz-Standardschriftart"/>
    <w:rsid w:val="00BE5A01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semiHidden/>
    <w:unhideWhenUsed/>
    <w:rsid w:val="0010258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02582"/>
    <w:rPr>
      <w:rFonts w:ascii="Times New Roman" w:hAnsi="Times New Roman" w:cs="Times New Roman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102582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025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02582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025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025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8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4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awwerusch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ilke/Google%20Drive/Chawwerusch-PR/Pressemitteilungen/Vorlage_P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Vorlage_PI.dotx</Template>
  <TotalTime>0</TotalTime>
  <Pages>1</Pages>
  <Words>261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1905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Microsoft Office User</cp:lastModifiedBy>
  <cp:revision>6</cp:revision>
  <cp:lastPrinted>2012-05-07T21:07:00Z</cp:lastPrinted>
  <dcterms:created xsi:type="dcterms:W3CDTF">2020-11-04T09:47:00Z</dcterms:created>
  <dcterms:modified xsi:type="dcterms:W3CDTF">2021-06-11T08:51:00Z</dcterms:modified>
</cp:coreProperties>
</file>